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813C77" w:rsidP="005B0B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858000" cy="45700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A4E" w:rsidRDefault="00837A4E" w:rsidP="009473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37A4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818873" cy="3689449"/>
                                  <wp:effectExtent l="0" t="0" r="1270" b="6350"/>
                                  <wp:docPr id="2" name="Picture 2" descr="E:\External\On\Site JCBR\Vol 3 Issue 1\147\S Figur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External\On\Site JCBR\Vol 3 Issue 1\147\S Figur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5462" cy="3694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7A4E" w:rsidRDefault="00837A4E" w:rsidP="00947338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13C77" w:rsidRPr="00837A4E" w:rsidRDefault="00837A4E" w:rsidP="00947338">
                            <w:pPr>
                              <w:spacing w:after="0" w:line="240" w:lineRule="auto"/>
                              <w:jc w:val="lowKashida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Supplementary </w:t>
                            </w:r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Gene ontology analysis and pathway analysis of differentially expressed </w:t>
                            </w:r>
                            <w:proofErr w:type="spellStart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unigenes</w:t>
                            </w:r>
                            <w:proofErr w:type="spellEnd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(A) The top 10 gene ontology that related to biological process analysis of differentially expressed </w:t>
                            </w:r>
                            <w:proofErr w:type="spellStart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unigenes</w:t>
                            </w:r>
                            <w:proofErr w:type="spellEnd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(B) The top 10 pathway which related to obesity and differentiation analysis of all differentially expressed </w:t>
                            </w:r>
                            <w:proofErr w:type="spellStart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unigenes</w:t>
                            </w:r>
                            <w:proofErr w:type="spellEnd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(C) The top 10 pathway which related to cellular </w:t>
                            </w:r>
                            <w:proofErr w:type="spellStart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coponents</w:t>
                            </w:r>
                            <w:proofErr w:type="spellEnd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differentiation analysis of all differentially expressed </w:t>
                            </w:r>
                            <w:proofErr w:type="spellStart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unigenes</w:t>
                            </w:r>
                            <w:proofErr w:type="spellEnd"/>
                            <w:r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15pt;width:540pt;height:3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duhwIAAIsFAAAOAAAAZHJzL2Uyb0RvYy54bWysVEtPGzEQvlfqf7B8L7uhhIaIDUpBVJUQ&#10;oELF2fHaZFXb49pOdtNf3xnv5lHKhaqXXdvzzeubx/lFZw1bqxAbcBUfHZWcKSehbtxzxb8/Xn+Y&#10;cBaTcLUw4FTFNyryi9n7d+etn6pjWIKpVWBoxMVp6yu+TMlPiyLKpbIiHoFXDoUaghUJr+G5qINo&#10;0bo1xXFZnhYthNoHkCpGfL3qhXyW7WutZLrTOqrETMUxtpS/IX8X9C1m52L6HIRfNnIIQ/xDFFY0&#10;Dp3uTF2JJNgqNH+Zso0MEEGnIwm2AK0bqXIOmM2ofJHNw1J4lXNBcqLf0RT/n1l5u74PrKmxdpw5&#10;YbFEj6pL7DN0bETstD5OEfTgEZY6fCbk8B7xkZLudLD0x3QYypHnzY5bMibx8XQynpQliiTKTsaf&#10;yvJsTHaKvboPMX1RYBkdKh6weJlTsb6JqYduIeQtgmnq68aYfKGGUZcmsLXAUpuUg0Tjf6CMYy2G&#10;8nFcZsMOSL23bByZUbllBneUep9iPqWNUYQx7pvSSFnO9BXfQkrldv4zmlAaXb1FccDvo3qLcp8H&#10;amTP4NJO2TYOQs4+z9iesvrHljLd47E2B3nTMXWLbij9AuoNdkSAfqKil9cNVu1GxHQvAo4QVhrX&#10;QrrDjzaArMNw4mwJ4ddr74THzkYpZy2OZMXjz5UIijPz1WHPn41OTmiG8wVb6Bgv4VCyOJS4lb0E&#10;bAXsa4wuHwmfzPaoA9gn3B5z8ooi4ST6rnjaHi9Tvyhw+0g1n2cQTq0X6cY9eEmmiV7qycfuSQQ/&#10;NG7Cnr+F7fCK6Yv+7bGk6WC+SqCb3NxEcM/qQDxOfB6PYTvRSjm8Z9R+h85+AwAA//8DAFBLAwQU&#10;AAYACAAAACEAUa3sQt8AAAAIAQAADwAAAGRycy9kb3ducmV2LnhtbEyPS0/DMBCE70j8B2uRuCBq&#10;0wRahWwqhHhIvdHwEDc3XpKIeB3FbhL+Pe4JjrOzmvkm38y2EyMNvnWMcLVQIIgrZ1quEV7Lx8s1&#10;CB80G905JoQf8rApTk9ynRk38QuNu1CLGMI+0whNCH0mpa8astovXE8cvS83WB2iHGppBj3FcNvJ&#10;pVI30uqWY0Oje7pvqPreHSzC50X9sfXz09uUXCf9w/NYrt5NiXh+Nt/dggg0h79nOOJHdCgi094d&#10;2HjRIcQhAWGZJiCOrlqreNkjrNJUgSxy+X9A8QsAAP//AwBQSwECLQAUAAYACAAAACEAtoM4kv4A&#10;AADhAQAAEwAAAAAAAAAAAAAAAAAAAAAAW0NvbnRlbnRfVHlwZXNdLnhtbFBLAQItABQABgAIAAAA&#10;IQA4/SH/1gAAAJQBAAALAAAAAAAAAAAAAAAAAC8BAABfcmVscy8ucmVsc1BLAQItABQABgAIAAAA&#10;IQBCKcduhwIAAIsFAAAOAAAAAAAAAAAAAAAAAC4CAABkcnMvZTJvRG9jLnhtbFBLAQItABQABgAI&#10;AAAAIQBRrexC3wAAAAgBAAAPAAAAAAAAAAAAAAAAAOEEAABkcnMvZG93bnJldi54bWxQSwUGAAAA&#10;AAQABADzAAAA7QUAAAAA&#10;" fillcolor="white [3201]" stroked="f" strokeweight=".5pt">
                <v:textbox>
                  <w:txbxContent>
                    <w:p w:rsidR="00837A4E" w:rsidRDefault="00837A4E" w:rsidP="009473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37A4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818873" cy="3689449"/>
                            <wp:effectExtent l="0" t="0" r="1270" b="6350"/>
                            <wp:docPr id="2" name="Picture 2" descr="E:\External\On\Site JCBR\Vol 3 Issue 1\147\S Figur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External\On\Site JCBR\Vol 3 Issue 1\147\S Figur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5462" cy="3694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7A4E" w:rsidRDefault="00837A4E" w:rsidP="00947338">
                      <w:pPr>
                        <w:spacing w:after="0" w:line="240" w:lineRule="auto"/>
                        <w:jc w:val="lowKashida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13C77" w:rsidRPr="00837A4E" w:rsidRDefault="00837A4E" w:rsidP="00947338">
                      <w:pPr>
                        <w:spacing w:after="0" w:line="240" w:lineRule="auto"/>
                        <w:jc w:val="lowKashida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Supplementary </w:t>
                      </w:r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Gene ontology analysis and pathway analysis of differentially expressed </w:t>
                      </w:r>
                      <w:proofErr w:type="spellStart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unigenes</w:t>
                      </w:r>
                      <w:proofErr w:type="spellEnd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(A) The top 10 gene ontology that related to biological process analysis of differentially expressed </w:t>
                      </w:r>
                      <w:proofErr w:type="spellStart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unigenes</w:t>
                      </w:r>
                      <w:proofErr w:type="spellEnd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(B) The top 10 pathway which related to obesity and differentiation analysis of all differentially expressed </w:t>
                      </w:r>
                      <w:proofErr w:type="spellStart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unigenes</w:t>
                      </w:r>
                      <w:proofErr w:type="spellEnd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(C) The top 10 pathway which related to cellular </w:t>
                      </w:r>
                      <w:proofErr w:type="spellStart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coponents</w:t>
                      </w:r>
                      <w:proofErr w:type="spellEnd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differentiation analysis of all differentially expressed </w:t>
                      </w:r>
                      <w:proofErr w:type="spellStart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unigenes</w:t>
                      </w:r>
                      <w:proofErr w:type="spellEnd"/>
                      <w:r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13C77" w:rsidRDefault="00813C77" w:rsidP="005B0BB1">
      <w:pPr>
        <w:jc w:val="center"/>
      </w:pPr>
    </w:p>
    <w:p w:rsidR="00837A4E" w:rsidRDefault="00837A4E" w:rsidP="005B0BB1">
      <w:pPr>
        <w:jc w:val="center"/>
      </w:pPr>
    </w:p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Pr="00837A4E" w:rsidRDefault="00837A4E" w:rsidP="00837A4E"/>
    <w:p w:rsidR="00837A4E" w:rsidRDefault="00837A4E" w:rsidP="00837A4E"/>
    <w:p w:rsidR="00837A4E" w:rsidRDefault="00837A4E" w:rsidP="00837A4E">
      <w:pPr>
        <w:tabs>
          <w:tab w:val="left" w:pos="2130"/>
        </w:tabs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</w:p>
    <w:p w:rsidR="00837A4E" w:rsidRDefault="00837A4E" w:rsidP="00837A4E">
      <w:pPr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CD1E0" wp14:editId="410C5358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858000" cy="52558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255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7A4E" w:rsidRDefault="00947338" w:rsidP="009473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7338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357247" cy="3950970"/>
                                  <wp:effectExtent l="0" t="0" r="0" b="0"/>
                                  <wp:docPr id="6" name="Picture 6" descr="E:\External\On\Site JCBR\Vol 3 Issue 1\147\S Figure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External\On\Site JCBR\Vol 3 Issue 1\147\S Figure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0246" cy="3953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7338" w:rsidRDefault="00947338" w:rsidP="00837A4E">
                            <w:pPr>
                              <w:jc w:val="lowKashida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37A4E" w:rsidRPr="00837A4E" w:rsidRDefault="00947338" w:rsidP="00947338">
                            <w:pPr>
                              <w:jc w:val="lowKashida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Supplementary Figure 2</w:t>
                            </w:r>
                            <w:r w:rsidR="00837A4E" w:rsidRPr="00837A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473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Correlation coefficient between the indicated blood levels of glucose (A), TSH (B), T3 (C), CRP (D), and triglyceride (E) of pre and post operation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D1E0" id="Text Box 3" o:spid="_x0000_s1027" type="#_x0000_t202" style="position:absolute;margin-left:0;margin-top:9.15pt;width:540pt;height:4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biUwIAAKAEAAAOAAAAZHJzL2Uyb0RvYy54bWysVN9v2jAQfp+0/8Hy+5oATUdRQ8VaMU2q&#10;2kpl6rNxnBLJ8Xm2IWF//T47QLtuT9N4MPfLd77vvsvVdd9qtlPON2RKPjrLOVNGUtWYl5J/Xy0/&#10;TTnzQZhKaDKq5Hvl+fX844erzs7UmDakK+UYkhg/62zJNyHYWZZ5uVGt8GdklYGzJteKANW9ZJUT&#10;HbK3Ohvn+UXWkausI6m8h/V2cPJ5yl/XSoaHuvYqMF1yvC2k06VzHc9sfiVmL07YTSMPzxD/8IpW&#10;NAZFT6luRRBs65o/UrWNdOSpDmeS2ozqupEq9YBuRvm7bp42wqrUC8Dx9gST/39p5f3u0bGmKvmE&#10;MyNajGil+sC+UM8mEZ3O+hmCnizCQg8zpny0exhj033t2viPdhj8wHl/wjYmkzBeTItpnsMl4SvG&#10;RTG9LGKe7PW6dT58VdSyKJTcYXgJU7G782EIPYbEap50Uy0brZOy9zfasZ3AnEGPijrOtPABxpIv&#10;0+9Q7bdr2rAOb5sUeapkKOYbSmkT86rEoUP9iMXQc5RCv+4Tcic81lTtAZOjgWbeymWDVu7wjkfh&#10;wCu0j10JDzhqTahMB4mzDbmff7PHeIwbXs468LTk/sdWOIX2vhkQ4XJ0fh6JnZTz4vMYinvrWb/1&#10;mG17Q4BohK20MokxPuijWDtqn7FSi1gVLmEkapc8HMWbMGwPVlKqxSIFgcpWhDvzZGVMHXGLg1r1&#10;z8LZwzQDiHBPR0aL2buhDrHxpqHFNlDdpIlHnAdUwZSoYA0SZw4rG/fsrZ6iXj8s818AAAD//wMA&#10;UEsDBBQABgAIAAAAIQAYXbfO3wAAAAgBAAAPAAAAZHJzL2Rvd25yZXYueG1sTI/NTsMwEITvSLyD&#10;tUjcqM2PqijEqRACQSWiQlqJq5ssSSBeR7bbhD59tyc47sxo9ptsMdle7NGHzpGG65kCgVS5uqNG&#10;w2b9fJWACNFQbXpHqOEXAyzy87PMpLUb6QP3ZWwEl1BIjYY2xiGVMlQtWhNmbkBi78t5ayKfvpG1&#10;NyOX217eKDWX1nTEH1oz4GOL1U+5sxo+x/LFr5bL7/fhtTisDmXxhk+F1pcX08M9iIhT/AvDCZ/R&#10;IWemrdtRHUSvgYdEVpNbECdXJYqVrYbkbq5A5pn8PyA/AgAA//8DAFBLAQItABQABgAIAAAAIQC2&#10;gziS/gAAAOEBAAATAAAAAAAAAAAAAAAAAAAAAABbQ29udGVudF9UeXBlc10ueG1sUEsBAi0AFAAG&#10;AAgAAAAhADj9If/WAAAAlAEAAAsAAAAAAAAAAAAAAAAALwEAAF9yZWxzLy5yZWxzUEsBAi0AFAAG&#10;AAgAAAAhAGG3NuJTAgAAoAQAAA4AAAAAAAAAAAAAAAAALgIAAGRycy9lMm9Eb2MueG1sUEsBAi0A&#10;FAAGAAgAAAAhABhdt87fAAAACAEAAA8AAAAAAAAAAAAAAAAArQQAAGRycy9kb3ducmV2LnhtbFBL&#10;BQYAAAAABAAEAPMAAAC5BQAAAAA=&#10;" fillcolor="window" stroked="f" strokeweight=".5pt">
                <v:textbox>
                  <w:txbxContent>
                    <w:p w:rsidR="00837A4E" w:rsidRDefault="00947338" w:rsidP="0094733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7338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357247" cy="3950970"/>
                            <wp:effectExtent l="0" t="0" r="0" b="0"/>
                            <wp:docPr id="6" name="Picture 6" descr="E:\External\On\Site JCBR\Vol 3 Issue 1\147\S Figure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External\On\Site JCBR\Vol 3 Issue 1\147\S Figure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0246" cy="3953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7338" w:rsidRDefault="00947338" w:rsidP="00837A4E">
                      <w:pPr>
                        <w:jc w:val="lowKashida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37A4E" w:rsidRPr="00837A4E" w:rsidRDefault="00947338" w:rsidP="00947338">
                      <w:pPr>
                        <w:jc w:val="lowKashida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Supplementary Figure 2</w:t>
                      </w:r>
                      <w:r w:rsidR="00837A4E" w:rsidRPr="00837A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Pr="009473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Correlation coefficient between the indicated blood levels of glucose (A), TSH (B), T3 (C), CRP (D), and triglyceride (E) of pre and post operation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37A4E" w:rsidRPr="00837A4E" w:rsidRDefault="00837A4E" w:rsidP="00837A4E">
      <w:pPr>
        <w:tabs>
          <w:tab w:val="left" w:pos="2130"/>
        </w:tabs>
      </w:pPr>
      <w:bookmarkStart w:id="0" w:name="_GoBack"/>
      <w:bookmarkEnd w:id="0"/>
    </w:p>
    <w:sectPr w:rsidR="00837A4E" w:rsidRPr="00837A4E" w:rsidSect="005B0BB1">
      <w:headerReference w:type="first" r:id="rId8"/>
      <w:pgSz w:w="12240" w:h="15840" w:code="1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14" w:rsidRDefault="005C5C14" w:rsidP="005B0BB1">
      <w:pPr>
        <w:spacing w:after="0" w:line="240" w:lineRule="auto"/>
      </w:pPr>
      <w:r>
        <w:separator/>
      </w:r>
    </w:p>
  </w:endnote>
  <w:endnote w:type="continuationSeparator" w:id="0">
    <w:p w:rsidR="005C5C14" w:rsidRDefault="005C5C14" w:rsidP="005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14" w:rsidRDefault="005C5C14" w:rsidP="005B0BB1">
      <w:pPr>
        <w:spacing w:after="0" w:line="240" w:lineRule="auto"/>
      </w:pPr>
      <w:r>
        <w:separator/>
      </w:r>
    </w:p>
  </w:footnote>
  <w:footnote w:type="continuationSeparator" w:id="0">
    <w:p w:rsidR="005C5C14" w:rsidRDefault="005C5C14" w:rsidP="005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B1" w:rsidRDefault="005B0BB1" w:rsidP="005B0BB1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hAnsi="Times New Roman" w:cs="Times New Roman"/>
        <w:color w:val="000000" w:themeColor="text1"/>
        <w:sz w:val="24"/>
        <w:szCs w:val="24"/>
      </w:rPr>
    </w:pPr>
    <w:r w:rsidRPr="00094226">
      <w:rPr>
        <w:rFonts w:ascii="Times New Roman" w:hAnsi="Times New Roman" w:cs="Times New Roman"/>
        <w:sz w:val="24"/>
        <w:szCs w:val="24"/>
      </w:rPr>
      <w:t xml:space="preserve">Journal of Current Biomedical Reports </w:t>
    </w:r>
    <w:r w:rsidRPr="00094226">
      <w:rPr>
        <w:rFonts w:ascii="Times New Roman" w:hAnsi="Times New Roman" w:cs="Times New Roman"/>
        <w:sz w:val="24"/>
        <w:szCs w:val="24"/>
      </w:rPr>
      <w:ptab w:relativeTo="margin" w:alignment="right" w:leader="none"/>
    </w:r>
    <w:hyperlink r:id="rId1" w:history="1">
      <w:r w:rsidRPr="00094226">
        <w:rPr>
          <w:rFonts w:ascii="Times New Roman" w:hAnsi="Times New Roman" w:cs="Times New Roman"/>
          <w:color w:val="000000" w:themeColor="text1"/>
          <w:sz w:val="24"/>
          <w:szCs w:val="24"/>
        </w:rPr>
        <w:t>jcbior.com</w:t>
      </w:r>
    </w:hyperlink>
  </w:p>
  <w:p w:rsidR="005B0BB1" w:rsidRPr="005B0BB1" w:rsidRDefault="005B0BB1" w:rsidP="005B0BB1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hAnsi="Times New Roman" w:cs="Times New Roman"/>
        <w:sz w:val="24"/>
        <w:szCs w:val="24"/>
      </w:rPr>
    </w:pPr>
    <w:r w:rsidRPr="00094226">
      <w:rPr>
        <w:rFonts w:ascii="Times New Roman" w:hAnsi="Times New Roman" w:cs="Times New Roman"/>
        <w:sz w:val="24"/>
        <w:szCs w:val="24"/>
      </w:rPr>
      <w:t xml:space="preserve">Volume </w:t>
    </w:r>
    <w:r>
      <w:rPr>
        <w:rFonts w:ascii="Times New Roman" w:hAnsi="Times New Roman" w:cs="Times New Roman"/>
        <w:sz w:val="24"/>
        <w:szCs w:val="24"/>
      </w:rPr>
      <w:t>3</w:t>
    </w:r>
    <w:r w:rsidRPr="00094226">
      <w:rPr>
        <w:rFonts w:ascii="Times New Roman" w:hAnsi="Times New Roman" w:cs="Times New Roman"/>
        <w:sz w:val="24"/>
        <w:szCs w:val="24"/>
      </w:rPr>
      <w:t xml:space="preserve">, Number </w:t>
    </w:r>
    <w:r>
      <w:rPr>
        <w:rFonts w:ascii="Times New Roman" w:hAnsi="Times New Roman" w:cs="Times New Roman"/>
        <w:sz w:val="24"/>
        <w:szCs w:val="24"/>
      </w:rPr>
      <w:t>1</w:t>
    </w:r>
    <w:r w:rsidRPr="00094226">
      <w:rPr>
        <w:rFonts w:ascii="Times New Roman" w:hAnsi="Times New Roman" w:cs="Times New Roman"/>
        <w:sz w:val="24"/>
        <w:szCs w:val="24"/>
      </w:rPr>
      <w:t>, 202</w:t>
    </w:r>
    <w:r>
      <w:rPr>
        <w:rFonts w:ascii="Times New Roman" w:hAnsi="Times New Roman" w:cs="Times New Roman"/>
        <w:sz w:val="24"/>
        <w:szCs w:val="24"/>
      </w:rPr>
      <w:t>2</w:t>
    </w:r>
    <w:r w:rsidRPr="0009422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094226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94226">
      <w:rPr>
        <w:rFonts w:ascii="Times New Roman" w:hAnsi="Times New Roman" w:cs="Times New Roman"/>
        <w:sz w:val="24"/>
        <w:szCs w:val="24"/>
      </w:rPr>
      <w:t>eISSN</w:t>
    </w:r>
    <w:proofErr w:type="spellEnd"/>
    <w:r w:rsidRPr="00094226">
      <w:rPr>
        <w:rFonts w:ascii="Times New Roman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D"/>
    <w:rsid w:val="005B0BB1"/>
    <w:rsid w:val="005C5C14"/>
    <w:rsid w:val="006023BA"/>
    <w:rsid w:val="00753B0D"/>
    <w:rsid w:val="00813C77"/>
    <w:rsid w:val="00837A4E"/>
    <w:rsid w:val="008E5082"/>
    <w:rsid w:val="00947338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C063-7B2C-44B2-A492-136A818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B1"/>
  </w:style>
  <w:style w:type="paragraph" w:styleId="Footer">
    <w:name w:val="footer"/>
    <w:basedOn w:val="Normal"/>
    <w:link w:val="FooterChar"/>
    <w:uiPriority w:val="99"/>
    <w:unhideWhenUsed/>
    <w:rsid w:val="005B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4</cp:revision>
  <dcterms:created xsi:type="dcterms:W3CDTF">2022-05-27T07:32:00Z</dcterms:created>
  <dcterms:modified xsi:type="dcterms:W3CDTF">2022-05-27T07:55:00Z</dcterms:modified>
</cp:coreProperties>
</file>